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Calibri" w:cs="Times New Roman"/>
          <w:kern w:val="2"/>
          <w:sz w:val="24"/>
          <w:szCs w:val="24"/>
          <w:lang w:val="en-US" w:eastAsia="zh-CN" w:bidi="ar-SA"/>
        </w:rPr>
        <w:t>项目名称：南江县文化馆“智游天府”平台数据对接</w:t>
      </w:r>
    </w:p>
    <w:tbl>
      <w:tblPr>
        <w:tblStyle w:val="10"/>
        <w:tblW w:w="11367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34"/>
        <w:gridCol w:w="1866"/>
        <w:gridCol w:w="5017"/>
        <w:gridCol w:w="850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  <w:t>品牌型号</w:t>
            </w:r>
          </w:p>
        </w:tc>
        <w:tc>
          <w:tcPr>
            <w:tcW w:w="5017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  <w:t>技术参数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单位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人脸采集器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浙江大华/DH-IPC-HFW8449K-ZRT-LI</w:t>
            </w:r>
          </w:p>
        </w:tc>
        <w:tc>
          <w:tcPr>
            <w:tcW w:w="501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内置GPU芯片，支持深度学习算法，有效提升检测准确率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支持五种智能资源切换：通用行为分析、人脸检测、人数统计、热度图、立体行为分析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人脸客流功能：支持人脸检测、人数统计双智能并行同开，可对出现在视频画面中人员进行人脸抓拍同时实现人数统计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★可通过IE浏览器或客户端软件设置检测区域及离岗时间，支持对人员离岗状态进行检测，当区域内人员离开设置区域并超出设定时间阀值后，可触发报警、抓图、发送邮件，并支持人数及报警阀值可设置；人员离岗行为检测准确率≥99%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★支持人脸检测、人数统计同时检测，可对出现在视频画面中人员进行人数统计，并可检测、跟踪、抓拍到较优人脸；采用单人依次通行测试，双智能（人数统计、人脸抓拍）并行同开；人脸抓拍率≥99%，人数统计率≥99%；人脸抓拍重复率≤1%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★开启白光灯可识别距样机220m处的人体轮廓。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★开启白光灯可识别距样机30m处的人脸。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立体行为分析：通过在立体行为分析中设置检测区域及离岗时间，支持对人员离岗状态进行检测，当区域内人员离开设置区域并超出设定时间阀值后，可触发报警、抓图、发送邮件；报警人数及报警阀值可设置；可最多设置8个检测区域，每个区域独立进行检测互不干扰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通用行为分析：支持区域入侵，绊线入侵，快速移动，物品遗留，物品搬移，徘徊检测，人员聚集，停车检测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支持多种异常检测：动态检测，视频遮挡，场景变更，虚焦侦测，音频异常侦测，无SD卡，SD卡空间不足，SD卡出错，网络断开，IP冲突，非法访问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支持五码流功能，三路高清视频显示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采用超星光级超低照度400万像素1/1.8英寸CMOS图像传感器，低照度效果好，图像清晰度高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可输出400万（2688×1520）@25fps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支持H.265编码，压缩比高，超低码流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内置高效暖光灯，最大监控距离120m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支持走廊模式，宽动态，3D降噪，强光抑制，背光补偿，数字水印，适用不同监控环境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支持ROI，SVC，SMART H.264/H.265，帧前滤波，灵活编码，适用不同带宽和存储环境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支持报警3进2出，音频1进1出，485，BNC，256G SD卡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支持AC24V/DC12V/POE供电方式，支持12V电源返送，最大电流165mA，方便工程安装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支持IP67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人脸分析比对储存器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浙江大华/DH-IVSS7166</w:t>
            </w:r>
          </w:p>
        </w:tc>
        <w:tc>
          <w:tcPr>
            <w:tcW w:w="501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1，支持实时预览关闭、所有关闭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2，支持手动、自动切换主、辅码流类型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3，支持实时预览画面局部电子放大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4，支持实时优先、流畅优先、均衡优先及自定义的播放模式调节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5，支持实时画面的亮度、对比度、饱和度及色调的画面调节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6，支持去雾、去噪、去偏色及夜视增强灵敏度的视频增强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7，支持本地视频、全部视频的分享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8，支持实时打标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9，支持视频通道的一帧图片浮窗显示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10，支持通道、全部通道的自定义收藏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11，支持通道实时预览实时上墙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12，支持画面0°、90°、180°、270°旋转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13，支持抓图、连续抓图（静默及连续张数须配置使能）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14，支持视频通道实时预览时一键切换至该视频通道的回放模块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15，支持实时预览通道的即时回放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16，支持轮巡计划、轮巡任务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17，支持H.264、H.265、SVAC、MPEG4、MJPEG视频编码格式的IPC接入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18，支持热成像接入及其画面点位温度显示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19，支持云台抢占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20，支持Raid功能，包括Raid0、Raid1、Raid5、Raid6、Raid10、Raid50、Raid60、JBOD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21，支持巡航线设置、启用、停用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22，支持守望点功能，当球机静止10s后将自动定位至守望点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23，支持实时预览画面叠加操作员信息、IP地址及操作类型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24，支持球机合成全景图片、自动定位到某个位置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25，支持云台菜单、灯光、雨刷、自动旋转、辅助、红外等辅助功能。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26，支持图形化、列表化方式展示录像查询结果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27，支持以不同颜色区别显示不同类型录像（所有录像、定时录像、报警录像、移动侦测、视频丢失及视频遮挡）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28，支持1/2、1/4、1/8、1/16、1/32、1/64、1/128、2、4、8、1、32、64、128倍速快慢放，支持逐帧播放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29，支持多路回放，多路同步回放（多路最大支持36路）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30，具有视频质量诊断功能，能够分析图像的亮度、偏色、对比度、清晰度等属性，识别视频丢失情况，并图形化展示统计结果。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31，支持视频通道录像回放时一键切换至该视频通道的实时模块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32，支持视频预览、上墙、回放、云台、报警闪烁、卡口图片监控、移动终端GPS轨迹显示、历史轨迹查询及轨迹回放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33，支持通过设备名称、通道名称、设备编号、组织目录、IP地址、设备类型、拼音、首字母等条件模糊搜索设备。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34，支持按照通道、报警类型、时间段等条件查询报警，支持报警系统事件记录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35，支持以语音播报方式报警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36，支持报警联动视频、报警输出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37，支持设备、视频通道、报警输入通道、智能通道及门禁通道等报警源选择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38，支持上墙轮巡计划，可根据时间点、时间间隔进行自动切换。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3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智慧园区管理系统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浙江大华/smart pSS2.88</w:t>
            </w:r>
          </w:p>
        </w:tc>
        <w:tc>
          <w:tcPr>
            <w:tcW w:w="501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支持ONVIF、RTSP协议的主流品牌摄像机；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支持4K高清网络视频的存储；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支持4K高清显示输出；(4,8路设备支持，16路不支持)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支持解码4路300W；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支持满接1080P；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支持前智能SMD（智能动检），只在检测到机动车或人的情况下才会触发联动报警，可有效滤除树叶、雨水、亮度变化带来的误报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支持4路视频同步回放及多路同步倒放；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VGA、HDMI视频输出分辨率最高达1920×1080，支持VGA、HDMI同源互斥输出，优先HDMI显示输出；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支持按事件查询、回放、备份录像文件，支持图片本地回放与查询；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支持1路语音输入/输出；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持远程配置管理IPC，参数设置、信息获取、对同一型号IPC批量升级等；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支持乐橙云，在线云升级/乐橙APP及P2P远程监控、移动端播放；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支持数字水印校验；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支持DHCP（自动获取IP地址）、HTTP(超文本传输)、NTP(网络校时)、DDNS(动态域名解析)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支持解码自适应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支持H.265/H.264解码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3" w:hRule="atLeast"/>
        </w:trPr>
        <w:tc>
          <w:tcPr>
            <w:tcW w:w="8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4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核心数据交换设备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浙江大华/DH-S3000C-16GT2GT2GF-APWR</w:t>
            </w:r>
          </w:p>
        </w:tc>
        <w:tc>
          <w:tcPr>
            <w:tcW w:w="501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非管理PoE交换机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高性能交换机芯片，大缓存，视频无卡顿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符合IEEE802.3、IEEE802.3u、IEEE802.3x标准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全金属外壳，全封闭防尘、宽温设计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无网管，即插即用，支简化工程施工部署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支持IEEE802.3af/IEEE802.3at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支持250m远距离传输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5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摄像机吊装支架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定制</w:t>
            </w:r>
          </w:p>
        </w:tc>
        <w:tc>
          <w:tcPr>
            <w:tcW w:w="501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  <w:t>60cm-120cm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根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6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/>
              </w:rPr>
              <w:t>线路建设及施工费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  <w:t>定制</w:t>
            </w:r>
          </w:p>
        </w:tc>
        <w:tc>
          <w:tcPr>
            <w:tcW w:w="5017" w:type="dxa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446FB"/>
    <w:rsid w:val="013D0D9F"/>
    <w:rsid w:val="21C66592"/>
    <w:rsid w:val="2D272E71"/>
    <w:rsid w:val="3F5446FB"/>
    <w:rsid w:val="406E3129"/>
    <w:rsid w:val="5FEF0418"/>
    <w:rsid w:val="6358752A"/>
    <w:rsid w:val="75C6520C"/>
    <w:rsid w:val="7764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sz w:val="16"/>
      <w:szCs w:val="16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color w:val="000000"/>
      <w:kern w:val="0"/>
      <w:sz w:val="30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2021-10-13T02:27:00Z</dcterms:created>
  <dc:creator>Administrator</dc:creator>
  <cp:lastModifiedBy>sjtc</cp:lastModifiedBy>
  <cp:lastPrinted>2021-10-14T06:31:00Z</cp:lastPrinted>
  <dcterms:modified xsi:type="dcterms:W3CDTF">2021-11-10T03:47:51Z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7C799F5ADD264CD68BF60A381F850132</vt:lpwstr>
  </property>
</Properties>
</file>